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简体" w:hAnsi="宋体" w:eastAsia="方正小标宋简体" w:cs="宋体"/>
          <w:bCs/>
          <w:sz w:val="44"/>
          <w:szCs w:val="44"/>
        </w:rPr>
      </w:pPr>
      <w:bookmarkStart w:id="0" w:name="_GoBack"/>
      <w:bookmarkEnd w:id="0"/>
      <w:r>
        <w:rPr>
          <w:rFonts w:hint="eastAsia" w:ascii="方正小标宋简体" w:hAnsi="宋体" w:eastAsia="方正小标宋简体" w:cs="宋体"/>
          <w:bCs/>
          <w:sz w:val="44"/>
          <w:szCs w:val="44"/>
        </w:rPr>
        <w:t>湖南三湘银行股份有限公司</w:t>
      </w:r>
    </w:p>
    <w:p>
      <w:pPr>
        <w:spacing w:line="576" w:lineRule="exact"/>
        <w:jc w:val="center"/>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202</w:t>
      </w:r>
      <w:r>
        <w:rPr>
          <w:rFonts w:hint="eastAsia" w:ascii="方正小标宋简体" w:hAnsi="宋体" w:eastAsia="方正小标宋简体" w:cs="宋体"/>
          <w:bCs/>
          <w:sz w:val="44"/>
          <w:szCs w:val="44"/>
          <w:lang w:val="en-US" w:eastAsia="zh-CN"/>
        </w:rPr>
        <w:t>6</w:t>
      </w:r>
      <w:r>
        <w:rPr>
          <w:rFonts w:hint="eastAsia" w:ascii="方正小标宋简体" w:hAnsi="宋体" w:eastAsia="方正小标宋简体" w:cs="宋体"/>
          <w:bCs/>
          <w:sz w:val="44"/>
          <w:szCs w:val="44"/>
        </w:rPr>
        <w:t>年</w:t>
      </w:r>
      <w:r>
        <w:rPr>
          <w:rFonts w:hint="eastAsia" w:ascii="方正小标宋简体" w:hAnsi="宋体" w:eastAsia="方正小标宋简体" w:cs="宋体"/>
          <w:bCs/>
          <w:sz w:val="44"/>
          <w:szCs w:val="44"/>
          <w:lang w:val="en-US" w:eastAsia="zh-CN"/>
        </w:rPr>
        <w:t>二季度</w:t>
      </w:r>
      <w:r>
        <w:rPr>
          <w:rFonts w:hint="eastAsia" w:ascii="方正小标宋简体" w:hAnsi="宋体" w:eastAsia="方正小标宋简体" w:cs="宋体"/>
          <w:bCs/>
          <w:sz w:val="44"/>
          <w:szCs w:val="44"/>
        </w:rPr>
        <w:t>一般关联交易公告</w:t>
      </w:r>
    </w:p>
    <w:p>
      <w:pPr>
        <w:spacing w:line="576" w:lineRule="exact"/>
        <w:ind w:firstLine="600" w:firstLineChars="200"/>
        <w:rPr>
          <w:rFonts w:ascii="仿宋" w:hAnsi="仿宋" w:eastAsia="仿宋" w:cs="仿宋"/>
          <w:sz w:val="30"/>
          <w:szCs w:val="30"/>
        </w:rPr>
      </w:pPr>
    </w:p>
    <w:p>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根据《银行保险机构关联交易管理办法》规定，现将湖南三湘银行股份有限公司（以下简称“本行”）202</w:t>
      </w: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二季度</w:t>
      </w:r>
      <w:r>
        <w:rPr>
          <w:rFonts w:hint="eastAsia" w:ascii="仿宋_GB2312" w:hAnsi="仿宋" w:eastAsia="仿宋_GB2312" w:cs="仿宋"/>
          <w:sz w:val="32"/>
          <w:szCs w:val="32"/>
        </w:rPr>
        <w:t>一般关联交易情况合并披露如下：</w:t>
      </w:r>
    </w:p>
    <w:p>
      <w:pPr>
        <w:spacing w:after="156" w:afterLines="50" w:line="576" w:lineRule="exact"/>
        <w:ind w:firstLine="600" w:firstLineChars="200"/>
        <w:rPr>
          <w:rFonts w:ascii="黑体" w:hAnsi="黑体" w:eastAsia="黑体" w:cs="黑体"/>
          <w:sz w:val="30"/>
          <w:szCs w:val="30"/>
        </w:rPr>
      </w:pPr>
      <w:r>
        <w:rPr>
          <w:rFonts w:hint="eastAsia" w:ascii="黑体" w:hAnsi="黑体" w:eastAsia="黑体" w:cs="黑体"/>
          <w:sz w:val="30"/>
          <w:szCs w:val="30"/>
        </w:rPr>
        <w:t>一、本季度一般关联交易情况</w:t>
      </w:r>
      <w:r>
        <w:rPr>
          <w:rStyle w:val="8"/>
          <w:rFonts w:hint="eastAsia" w:ascii="黑体" w:hAnsi="黑体" w:eastAsia="黑体" w:cs="黑体"/>
          <w:sz w:val="30"/>
          <w:szCs w:val="30"/>
        </w:rPr>
        <w:footnoteReference w:id="0"/>
      </w:r>
    </w:p>
    <w:tbl>
      <w:tblPr>
        <w:tblStyle w:val="6"/>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3"/>
        <w:gridCol w:w="1595"/>
        <w:gridCol w:w="4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b/>
                <w:szCs w:val="21"/>
              </w:rPr>
            </w:pPr>
            <w:r>
              <w:rPr>
                <w:rFonts w:hint="eastAsia" w:ascii="仿宋_GB2312" w:hAnsi="仿宋" w:eastAsia="仿宋_GB2312" w:cs="仿宋"/>
                <w:b/>
                <w:szCs w:val="21"/>
              </w:rPr>
              <w:t>关联交易类型</w:t>
            </w:r>
          </w:p>
        </w:tc>
        <w:tc>
          <w:tcPr>
            <w:tcW w:w="159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b/>
                <w:szCs w:val="21"/>
              </w:rPr>
            </w:pPr>
            <w:r>
              <w:rPr>
                <w:rFonts w:hint="eastAsia" w:ascii="仿宋_GB2312" w:hAnsi="仿宋" w:eastAsia="仿宋_GB2312" w:cs="仿宋"/>
                <w:b/>
                <w:szCs w:val="21"/>
              </w:rPr>
              <w:t>金额（万元）</w:t>
            </w:r>
          </w:p>
        </w:tc>
        <w:tc>
          <w:tcPr>
            <w:tcW w:w="440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b/>
                <w:szCs w:val="21"/>
              </w:rPr>
            </w:pPr>
            <w:r>
              <w:rPr>
                <w:rFonts w:hint="eastAsia" w:ascii="仿宋_GB2312" w:hAnsi="仿宋" w:eastAsia="仿宋_GB2312" w:cs="仿宋"/>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szCs w:val="21"/>
              </w:rPr>
            </w:pPr>
            <w:r>
              <w:rPr>
                <w:rFonts w:hint="eastAsia" w:ascii="仿宋_GB2312" w:hAnsi="仿宋" w:eastAsia="仿宋_GB2312" w:cs="仿宋"/>
                <w:szCs w:val="21"/>
              </w:rPr>
              <w:t>授信类关联交易</w:t>
            </w:r>
          </w:p>
        </w:tc>
        <w:tc>
          <w:tcPr>
            <w:tcW w:w="159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szCs w:val="21"/>
              </w:rPr>
            </w:pPr>
            <w:r>
              <w:rPr>
                <w:rFonts w:hint="eastAsia" w:ascii="仿宋_GB2312" w:hAnsi="仿宋" w:eastAsia="仿宋_GB2312" w:cs="仿宋"/>
                <w:szCs w:val="21"/>
              </w:rPr>
              <w:t>0</w:t>
            </w:r>
          </w:p>
        </w:tc>
        <w:tc>
          <w:tcPr>
            <w:tcW w:w="440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szCs w:val="21"/>
              </w:rPr>
            </w:pPr>
            <w:r>
              <w:rPr>
                <w:rFonts w:hint="eastAsia" w:ascii="仿宋_GB2312" w:hAnsi="仿宋" w:eastAsia="仿宋_GB2312"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szCs w:val="21"/>
              </w:rPr>
            </w:pPr>
            <w:r>
              <w:rPr>
                <w:rFonts w:hint="eastAsia" w:ascii="仿宋_GB2312" w:hAnsi="仿宋" w:eastAsia="仿宋_GB2312" w:cs="仿宋"/>
                <w:szCs w:val="21"/>
              </w:rPr>
              <w:t>服务类关联交易</w:t>
            </w:r>
          </w:p>
        </w:tc>
        <w:tc>
          <w:tcPr>
            <w:tcW w:w="159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仿宋" w:eastAsia="仿宋_GB2312" w:cs="仿宋"/>
                <w:szCs w:val="21"/>
                <w:lang w:val="en-US" w:eastAsia="zh-CN"/>
              </w:rPr>
            </w:pPr>
            <w:r>
              <w:rPr>
                <w:rFonts w:hint="default" w:ascii="仿宋_GB2312" w:hAnsi="仿宋" w:eastAsia="仿宋_GB2312" w:cs="仿宋"/>
                <w:szCs w:val="21"/>
                <w:lang w:val="en-US" w:eastAsia="zh-CN"/>
              </w:rPr>
              <w:t>289.95</w:t>
            </w:r>
          </w:p>
        </w:tc>
        <w:tc>
          <w:tcPr>
            <w:tcW w:w="440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仿宋" w:eastAsia="仿宋_GB2312" w:cs="仿宋"/>
                <w:szCs w:val="21"/>
                <w:lang w:val="en-US"/>
              </w:rPr>
            </w:pPr>
            <w:r>
              <w:rPr>
                <w:rFonts w:hint="eastAsia" w:ascii="仿宋_GB2312" w:hAnsi="仿宋" w:eastAsia="仿宋_GB2312" w:cs="仿宋"/>
                <w:szCs w:val="21"/>
                <w:lang w:val="en-US" w:eastAsia="zh-CN"/>
              </w:rPr>
              <w:t>诉讼代理服务、贷后管理协助服务等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szCs w:val="21"/>
              </w:rPr>
            </w:pPr>
            <w:r>
              <w:rPr>
                <w:rFonts w:hint="eastAsia" w:ascii="仿宋_GB2312" w:hAnsi="仿宋" w:eastAsia="仿宋_GB2312" w:cs="仿宋"/>
                <w:szCs w:val="21"/>
              </w:rPr>
              <w:t>资产转移类关联交易</w:t>
            </w:r>
          </w:p>
        </w:tc>
        <w:tc>
          <w:tcPr>
            <w:tcW w:w="159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仿宋" w:eastAsia="仿宋_GB2312" w:cs="仿宋"/>
                <w:szCs w:val="21"/>
                <w:lang w:val="en-US" w:eastAsia="zh-CN"/>
              </w:rPr>
            </w:pPr>
            <w:r>
              <w:rPr>
                <w:rFonts w:hint="eastAsia" w:ascii="仿宋_GB2312" w:hAnsi="仿宋" w:eastAsia="仿宋_GB2312" w:cs="仿宋"/>
                <w:szCs w:val="21"/>
                <w:lang w:val="en-US" w:eastAsia="zh-CN"/>
              </w:rPr>
              <w:t>14607.68</w:t>
            </w:r>
          </w:p>
        </w:tc>
        <w:tc>
          <w:tcPr>
            <w:tcW w:w="440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 w:eastAsia="仿宋_GB2312" w:cs="仿宋"/>
                <w:szCs w:val="21"/>
              </w:rPr>
            </w:pPr>
            <w:r>
              <w:rPr>
                <w:rFonts w:hint="eastAsia" w:ascii="仿宋_GB2312" w:hAnsi="仿宋" w:eastAsia="仿宋_GB2312" w:cs="仿宋"/>
                <w:szCs w:val="21"/>
              </w:rPr>
              <w:t>债权转让</w:t>
            </w:r>
          </w:p>
        </w:tc>
      </w:tr>
    </w:tbl>
    <w:p>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ascii="黑体" w:hAnsi="黑体" w:eastAsia="黑体" w:cs="黑体"/>
          <w:sz w:val="30"/>
          <w:szCs w:val="30"/>
        </w:rPr>
      </w:pPr>
      <w:r>
        <w:rPr>
          <w:rFonts w:hint="eastAsia" w:ascii="黑体" w:hAnsi="黑体" w:eastAsia="黑体" w:cs="黑体"/>
          <w:sz w:val="30"/>
          <w:szCs w:val="30"/>
        </w:rPr>
        <w:t>二、关联交易监管指标执行情况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截止202</w:t>
      </w: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二</w:t>
      </w:r>
      <w:r>
        <w:rPr>
          <w:rFonts w:hint="eastAsia" w:ascii="仿宋_GB2312" w:hAnsi="仿宋" w:eastAsia="仿宋_GB2312" w:cs="仿宋"/>
          <w:sz w:val="32"/>
          <w:szCs w:val="32"/>
        </w:rPr>
        <w:t>季度末，本行对单个关联方的授信余额未超过本行上季末资本净额的10%，对单个关联法人或非法人组织所在集团客户的合计授信余额未超过本行上季末资本净额的15%，对全部关联方的授信余额未超过本行上季末资本净额的50%。本行各项指标执行情况均符合监管要求。</w:t>
      </w:r>
    </w:p>
    <w:p>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特此公告。</w:t>
      </w:r>
    </w:p>
    <w:p>
      <w:pPr>
        <w:spacing w:line="576" w:lineRule="exact"/>
        <w:ind w:firstLine="640" w:firstLineChars="200"/>
        <w:rPr>
          <w:rFonts w:ascii="仿宋_GB2312" w:hAnsi="仿宋" w:eastAsia="仿宋_GB2312" w:cs="仿宋"/>
          <w:sz w:val="32"/>
          <w:szCs w:val="32"/>
        </w:rPr>
      </w:pPr>
    </w:p>
    <w:p>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w:t>
      </w:r>
      <w:r>
        <w:rPr>
          <w:rFonts w:ascii="仿宋_GB2312" w:hAnsi="仿宋" w:eastAsia="仿宋_GB2312" w:cs="仿宋"/>
          <w:sz w:val="32"/>
          <w:szCs w:val="32"/>
        </w:rPr>
        <w:t xml:space="preserve"> </w:t>
      </w:r>
      <w:r>
        <w:rPr>
          <w:rFonts w:hint="eastAsia" w:ascii="仿宋_GB2312" w:hAnsi="仿宋" w:eastAsia="仿宋_GB2312" w:cs="仿宋"/>
          <w:sz w:val="32"/>
          <w:szCs w:val="32"/>
        </w:rPr>
        <w:t xml:space="preserve"> 湖南三湘银行股份有限公司</w:t>
      </w:r>
    </w:p>
    <w:p>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202</w:t>
      </w: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7</w:t>
      </w:r>
      <w:r>
        <w:rPr>
          <w:rFonts w:hint="eastAsia" w:ascii="仿宋_GB2312" w:hAnsi="仿宋" w:eastAsia="仿宋_GB2312" w:cs="仿宋"/>
          <w:sz w:val="32"/>
          <w:szCs w:val="32"/>
        </w:rPr>
        <w:t>月</w:t>
      </w:r>
      <w:r>
        <w:rPr>
          <w:rFonts w:hint="eastAsia" w:ascii="仿宋_GB2312" w:hAnsi="仿宋" w:eastAsia="仿宋_GB2312" w:cs="仿宋"/>
          <w:sz w:val="32"/>
          <w:szCs w:val="32"/>
          <w:lang w:val="en-US" w:eastAsia="zh-CN"/>
        </w:rPr>
        <w:t>30</w:t>
      </w:r>
      <w:r>
        <w:rPr>
          <w:rFonts w:hint="eastAsia" w:ascii="仿宋_GB2312" w:hAnsi="仿宋" w:eastAsia="仿宋_GB2312" w:cs="仿宋"/>
          <w:sz w:val="32"/>
          <w:szCs w:val="32"/>
        </w:rPr>
        <w:t>日</w:t>
      </w:r>
    </w:p>
    <w:sectPr>
      <w:headerReference r:id="rId4" w:type="default"/>
      <w:footerReference r:id="rId5" w:type="default"/>
      <w:footnotePr>
        <w:numFmt w:val="decimalEnclosedCircleChinese"/>
      </w:footnotePr>
      <w:pgSz w:w="11906" w:h="16838"/>
      <w:pgMar w:top="1984"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4"/>
        <w:rPr>
          <w:rFonts w:ascii="仿宋_GB2312" w:eastAsia="仿宋_GB2312"/>
        </w:rPr>
      </w:pPr>
      <w:r>
        <w:rPr>
          <w:rStyle w:val="8"/>
          <w:rFonts w:hint="eastAsia" w:ascii="黑体" w:hAnsi="黑体" w:eastAsia="黑体" w:cs="黑体"/>
          <w:sz w:val="30"/>
          <w:szCs w:val="30"/>
        </w:rPr>
        <w:footnoteRef/>
      </w:r>
      <w:r>
        <w:rPr>
          <w:rFonts w:hint="eastAsia" w:ascii="仿宋_GB2312" w:eastAsia="仿宋_GB2312"/>
        </w:rPr>
        <w:t>交易情况为本行监管口径的关联方20</w:t>
      </w:r>
      <w:r>
        <w:rPr>
          <w:rFonts w:hint="eastAsia" w:ascii="仿宋_GB2312" w:eastAsia="仿宋_GB2312"/>
          <w:lang w:val="en-US" w:eastAsia="zh-CN"/>
        </w:rPr>
        <w:t>26</w:t>
      </w:r>
      <w:r>
        <w:rPr>
          <w:rFonts w:hint="eastAsia" w:ascii="仿宋_GB2312" w:eastAsia="仿宋_GB2312"/>
        </w:rPr>
        <w:t>年</w:t>
      </w:r>
      <w:r>
        <w:rPr>
          <w:rFonts w:hint="eastAsia" w:ascii="仿宋_GB2312" w:eastAsia="仿宋_GB2312"/>
          <w:lang w:val="en-US" w:eastAsia="zh-CN"/>
        </w:rPr>
        <w:t>二季度</w:t>
      </w:r>
      <w:r>
        <w:rPr>
          <w:rFonts w:hint="eastAsia" w:ascii="仿宋_GB2312" w:eastAsia="仿宋_GB2312"/>
        </w:rPr>
        <w:t>发生的一般关联交易情况统计，币种为人民币。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PowerPlusWaterMarkObject18640339" o:spid="_x0000_s2083" o:spt="136" type="#_x0000_t136" style="position:absolute;left:0pt;margin-left:478.75pt;margin-top:525.6pt;height:12pt;width:95pt;mso-position-horizontal-relative:margin;mso-position-vertical-relative:margin;rotation:-2949120f;z-index:-251623424;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7721616" o:spid="_x0000_s2082" o:spt="136" type="#_x0000_t136" style="position:absolute;left:0pt;margin-left:397.45pt;margin-top:606.95pt;height:12pt;width:95pt;mso-position-horizontal-relative:margin;mso-position-vertical-relative:margin;rotation:-2949120f;z-index:-251624448;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7024927" o:spid="_x0000_s2081" o:spt="136" type="#_x0000_t136" style="position:absolute;left:0pt;margin-left:316.1pt;margin-top:688.25pt;height:12pt;width:95pt;mso-position-horizontal-relative:margin;mso-position-vertical-relative:margin;rotation:-2949120f;z-index:-251625472;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6870550" o:spid="_x0000_s2080" o:spt="136" type="#_x0000_t136" style="position:absolute;left:0pt;margin-left:234.8pt;margin-top:769.55pt;height:12pt;width:95pt;mso-position-horizontal-relative:margin;mso-position-vertical-relative:margin;rotation:-2949120f;z-index:-251626496;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6083477" o:spid="_x0000_s2079" o:spt="136" type="#_x0000_t136" style="position:absolute;left:0pt;margin-left:478.75pt;margin-top:320.3pt;height:12pt;width:95pt;mso-position-horizontal-relative:margin;mso-position-vertical-relative:margin;rotation:-2949120f;z-index:-251627520;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5252844" o:spid="_x0000_s2078" o:spt="136" type="#_x0000_t136" style="position:absolute;left:0pt;margin-left:397.45pt;margin-top:401.6pt;height:12pt;width:95pt;mso-position-horizontal-relative:margin;mso-position-vertical-relative:margin;rotation:-2949120f;z-index:-251628544;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4926826" o:spid="_x0000_s2077" o:spt="136" type="#_x0000_t136" style="position:absolute;left:0pt;margin-left:316.1pt;margin-top:482.95pt;height:12pt;width:95pt;mso-position-horizontal-relative:margin;mso-position-vertical-relative:margin;rotation:-2949120f;z-index:-251629568;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4679943" o:spid="_x0000_s2076" o:spt="136" type="#_x0000_t136" style="position:absolute;left:0pt;margin-left:234.8pt;margin-top:564.25pt;height:12pt;width:95pt;mso-position-horizontal-relative:margin;mso-position-vertical-relative:margin;rotation:-2949120f;z-index:-251630592;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3696561" o:spid="_x0000_s2075" o:spt="136" type="#_x0000_t136" style="position:absolute;left:0pt;margin-left:153.5pt;margin-top:645.55pt;height:12pt;width:95pt;mso-position-horizontal-relative:margin;mso-position-vertical-relative:margin;rotation:-2949120f;z-index:-251631616;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3530959" o:spid="_x0000_s2074" o:spt="136" type="#_x0000_t136" style="position:absolute;left:0pt;margin-left:72.15pt;margin-top:726.9pt;height:12pt;width:95pt;mso-position-horizontal-relative:margin;mso-position-vertical-relative:margin;rotation:-2949120f;z-index:-251632640;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3263377" o:spid="_x0000_s2073" o:spt="136" type="#_x0000_t136" style="position:absolute;left:0pt;margin-left:478.75pt;margin-top:115pt;height:12pt;width:95pt;mso-position-horizontal-relative:margin;mso-position-vertical-relative:margin;rotation:-2949120f;z-index:-251633664;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2356708" o:spid="_x0000_s2072" o:spt="136" type="#_x0000_t136" style="position:absolute;left:0pt;margin-left:397.45pt;margin-top:196.3pt;height:12pt;width:95pt;mso-position-horizontal-relative:margin;mso-position-vertical-relative:margin;rotation:-2949120f;z-index:-251634688;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1960755" o:spid="_x0000_s2071" o:spt="136" type="#_x0000_t136" style="position:absolute;left:0pt;margin-left:316.1pt;margin-top:277.6pt;height:12pt;width:95pt;mso-position-horizontal-relative:margin;mso-position-vertical-relative:margin;rotation:-2949120f;z-index:-251635712;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1706931" o:spid="_x0000_s2070" o:spt="136" type="#_x0000_t136" style="position:absolute;left:0pt;margin-left:234.8pt;margin-top:358.95pt;height:12pt;width:95pt;mso-position-horizontal-relative:margin;mso-position-vertical-relative:margin;rotation:-2949120f;z-index:-251636736;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0918508" o:spid="_x0000_s2069" o:spt="136" type="#_x0000_t136" style="position:absolute;left:0pt;margin-left:153.5pt;margin-top:440.25pt;height:12pt;width:95pt;mso-position-horizontal-relative:margin;mso-position-vertical-relative:margin;rotation:-2949120f;z-index:-251637760;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0732401" o:spid="_x0000_s2068" o:spt="136" type="#_x0000_t136" style="position:absolute;left:0pt;margin-left:72.15pt;margin-top:521.55pt;height:12pt;width:95pt;mso-position-horizontal-relative:margin;mso-position-vertical-relative:margin;rotation:-2949120f;z-index:-251638784;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9726503" o:spid="_x0000_s2067" o:spt="136" type="#_x0000_t136" style="position:absolute;left:0pt;margin-left:-9.15pt;margin-top:602.9pt;height:12pt;width:95pt;mso-position-horizontal-relative:margin;mso-position-vertical-relative:margin;rotation:-2949120f;z-index:-251639808;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9433894" o:spid="_x0000_s2066" o:spt="136" type="#_x0000_t136" style="position:absolute;left:0pt;margin-left:-90.45pt;margin-top:684.2pt;height:12pt;width:95pt;mso-position-horizontal-relative:margin;mso-position-vertical-relative:margin;rotation:-2949120f;z-index:-251640832;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8942207" o:spid="_x0000_s2065" o:spt="136" type="#_x0000_t136" style="position:absolute;left:0pt;margin-left:478.75pt;margin-top:-90.35pt;height:12pt;width:95pt;mso-position-horizontal-relative:margin;mso-position-vertical-relative:margin;rotation:-2949120f;z-index:-251641856;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8573834" o:spid="_x0000_s2064" o:spt="136" type="#_x0000_t136" style="position:absolute;left:0pt;margin-left:397.45pt;margin-top:-9pt;height:12pt;width:95pt;mso-position-horizontal-relative:margin;mso-position-vertical-relative:margin;rotation:-2949120f;z-index:-251642880;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8410217" o:spid="_x0000_s2063" o:spt="136" type="#_x0000_t136" style="position:absolute;left:0pt;margin-left:316.1pt;margin-top:72.3pt;height:12pt;width:95pt;mso-position-horizontal-relative:margin;mso-position-vertical-relative:margin;rotation:-2949120f;z-index:-251643904;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7779942" o:spid="_x0000_s2062" o:spt="136" type="#_x0000_t136" style="position:absolute;left:0pt;margin-left:234.8pt;margin-top:153.6pt;height:12pt;width:95pt;mso-position-horizontal-relative:margin;mso-position-vertical-relative:margin;rotation:-2949120f;z-index:-251644928;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7505218" o:spid="_x0000_s2061" o:spt="136" type="#_x0000_t136" style="position:absolute;left:0pt;margin-left:153.5pt;margin-top:234.95pt;height:12pt;width:95pt;mso-position-horizontal-relative:margin;mso-position-vertical-relative:margin;rotation:-2949120f;z-index:-251645952;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6564083" o:spid="_x0000_s2060" o:spt="136" type="#_x0000_t136" style="position:absolute;left:0pt;margin-left:72.15pt;margin-top:316.25pt;height:12pt;width:95pt;mso-position-horizontal-relative:margin;mso-position-vertical-relative:margin;rotation:-2949120f;z-index:-251646976;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6066094" o:spid="_x0000_s2059" o:spt="136" type="#_x0000_t136" style="position:absolute;left:0pt;margin-left:-9.15pt;margin-top:397.55pt;height:12pt;width:95pt;mso-position-horizontal-relative:margin;mso-position-vertical-relative:margin;rotation:-2949120f;z-index:-251648000;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5765838" o:spid="_x0000_s2058" o:spt="136" type="#_x0000_t136" style="position:absolute;left:0pt;margin-left:-90.45pt;margin-top:478.9pt;height:12pt;width:95pt;mso-position-horizontal-relative:margin;mso-position-vertical-relative:margin;rotation:-2949120f;z-index:-251649024;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5088509" o:spid="_x0000_s2057" o:spt="136" type="#_x0000_t136" style="position:absolute;left:0pt;margin-left:316.1pt;margin-top:-133pt;height:12pt;width:95pt;mso-position-horizontal-relative:margin;mso-position-vertical-relative:margin;rotation:-2949120f;z-index:-251650048;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5000445" o:spid="_x0000_s2056" o:spt="136" type="#_x0000_t136" style="position:absolute;left:0pt;margin-left:234.8pt;margin-top:-51.7pt;height:12pt;width:95pt;mso-position-horizontal-relative:margin;mso-position-vertical-relative:margin;rotation:-2949120f;z-index:-251651072;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4205605" o:spid="_x0000_s2055" o:spt="136" type="#_x0000_t136" style="position:absolute;left:0pt;margin-left:153.5pt;margin-top:29.6pt;height:12pt;width:95pt;mso-position-horizontal-relative:margin;mso-position-vertical-relative:margin;rotation:-2949120f;z-index:-251652096;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3775793" o:spid="_x0000_s2054" o:spt="136" type="#_x0000_t136" style="position:absolute;left:0pt;margin-left:72.15pt;margin-top:110.95pt;height:12pt;width:95pt;mso-position-horizontal-relative:margin;mso-position-vertical-relative:margin;rotation:-2949120f;z-index:-251653120;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2864292" o:spid="_x0000_s2053" o:spt="136" type="#_x0000_t136" style="position:absolute;left:0pt;margin-left:-9.15pt;margin-top:192.25pt;height:12pt;width:95pt;mso-position-horizontal-relative:margin;mso-position-vertical-relative:margin;rotation:-2949120f;z-index:-251654144;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2660640" o:spid="_x0000_s2052" o:spt="136" type="#_x0000_t136" style="position:absolute;left:0pt;margin-left:-90.45pt;margin-top:273.55pt;height:12pt;width:95pt;mso-position-horizontal-relative:margin;mso-position-vertical-relative:margin;rotation:-2949120f;z-index:-251655168;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2190268" o:spid="_x0000_s2051" o:spt="136" type="#_x0000_t136" style="position:absolute;left:0pt;margin-left:72.15pt;margin-top:-94.4pt;height:12pt;width:95pt;mso-position-horizontal-relative:margin;mso-position-vertical-relative:margin;rotation:-2949120f;z-index:-251656192;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221720" o:spid="_x0000_s2050" o:spt="136" type="#_x0000_t136" style="position:absolute;left:0pt;margin-left:-9.15pt;margin-top:-13.05pt;height:12pt;width:95pt;mso-position-horizontal-relative:margin;mso-position-vertical-relative:margin;rotation:-2949120f;z-index:-251657216;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r>
      <w:rPr>
        <w:sz w:val="18"/>
      </w:rPr>
      <w:pict>
        <v:shape id="PowerPlusWaterMarkObject1003978" o:spid="_x0000_s2049" o:spt="136" type="#_x0000_t136" style="position:absolute;left:0pt;margin-left:-90.45pt;margin-top:68.25pt;height:12pt;width:95pt;mso-position-horizontal-relative:margin;mso-position-vertical-relative:margin;rotation:-2949120f;z-index:-251658240;mso-width-relative:page;mso-height-relative:page;" fillcolor="#999999" filled="t" stroked="f" coordsize="21600,21600" adj="10800">
          <v:path/>
          <v:fill on="t" opacity="6553f" focussize="0,0"/>
          <v:stroke on="f"/>
          <v:imagedata o:title=""/>
          <o:lock v:ext="edit" aspectratio="t"/>
          <v:textpath on="t" fitpath="t" trim="t" xscale="f" string="杨志青9014090550" style="font-family:Sans Serif;font-size:12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footnotePr>
    <w:numFmt w:val="decimalEnclosedCircleChinese"/>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NzEzNzM1N2JmMzM3M2MxMGI1ZTRjMDRlYWFmNDQifQ=="/>
  </w:docVars>
  <w:rsids>
    <w:rsidRoot w:val="00B57121"/>
    <w:rsid w:val="00070E9F"/>
    <w:rsid w:val="000912AA"/>
    <w:rsid w:val="000D3887"/>
    <w:rsid w:val="00121A39"/>
    <w:rsid w:val="001E7A81"/>
    <w:rsid w:val="002A5130"/>
    <w:rsid w:val="0035241A"/>
    <w:rsid w:val="004A58EB"/>
    <w:rsid w:val="004A5FD4"/>
    <w:rsid w:val="00557877"/>
    <w:rsid w:val="005C148D"/>
    <w:rsid w:val="00642BFE"/>
    <w:rsid w:val="00716A4F"/>
    <w:rsid w:val="00826B6A"/>
    <w:rsid w:val="00843921"/>
    <w:rsid w:val="008C2621"/>
    <w:rsid w:val="009B555A"/>
    <w:rsid w:val="00A722C9"/>
    <w:rsid w:val="00AC29DB"/>
    <w:rsid w:val="00B57121"/>
    <w:rsid w:val="00BA58BB"/>
    <w:rsid w:val="00C22416"/>
    <w:rsid w:val="00CC6483"/>
    <w:rsid w:val="00D02B26"/>
    <w:rsid w:val="00D13D75"/>
    <w:rsid w:val="00D33F3C"/>
    <w:rsid w:val="00DC6D7E"/>
    <w:rsid w:val="00EF2111"/>
    <w:rsid w:val="00F905B7"/>
    <w:rsid w:val="00FF606D"/>
    <w:rsid w:val="02BB07D1"/>
    <w:rsid w:val="04851DF8"/>
    <w:rsid w:val="05925136"/>
    <w:rsid w:val="081C183D"/>
    <w:rsid w:val="0A6462CF"/>
    <w:rsid w:val="0D3402C3"/>
    <w:rsid w:val="0D8820FA"/>
    <w:rsid w:val="0DB064CE"/>
    <w:rsid w:val="0E19425F"/>
    <w:rsid w:val="111C022D"/>
    <w:rsid w:val="117A11AA"/>
    <w:rsid w:val="12D15074"/>
    <w:rsid w:val="14FB28FC"/>
    <w:rsid w:val="16563066"/>
    <w:rsid w:val="16A76284"/>
    <w:rsid w:val="18B10D1E"/>
    <w:rsid w:val="18E92A80"/>
    <w:rsid w:val="192654AF"/>
    <w:rsid w:val="1F6F5B77"/>
    <w:rsid w:val="216D314C"/>
    <w:rsid w:val="24CE21E9"/>
    <w:rsid w:val="27D54BF9"/>
    <w:rsid w:val="293710F4"/>
    <w:rsid w:val="29797C14"/>
    <w:rsid w:val="2A1C5447"/>
    <w:rsid w:val="2A1E2A3D"/>
    <w:rsid w:val="2A1E684E"/>
    <w:rsid w:val="2CAD757A"/>
    <w:rsid w:val="2D847C84"/>
    <w:rsid w:val="2E164625"/>
    <w:rsid w:val="2EB76589"/>
    <w:rsid w:val="31A06238"/>
    <w:rsid w:val="32856269"/>
    <w:rsid w:val="38D251D7"/>
    <w:rsid w:val="3AA80595"/>
    <w:rsid w:val="3CD937FC"/>
    <w:rsid w:val="3D9B6A90"/>
    <w:rsid w:val="40397A05"/>
    <w:rsid w:val="415D5A6B"/>
    <w:rsid w:val="43797959"/>
    <w:rsid w:val="43975A9D"/>
    <w:rsid w:val="449E4CCD"/>
    <w:rsid w:val="457E071E"/>
    <w:rsid w:val="4888168E"/>
    <w:rsid w:val="493D5D52"/>
    <w:rsid w:val="4A7B3B10"/>
    <w:rsid w:val="4AA36890"/>
    <w:rsid w:val="4BBE19C6"/>
    <w:rsid w:val="58E84124"/>
    <w:rsid w:val="5A8B6CAE"/>
    <w:rsid w:val="5AAF8636"/>
    <w:rsid w:val="5C3438A4"/>
    <w:rsid w:val="5C424916"/>
    <w:rsid w:val="5D7F5F5D"/>
    <w:rsid w:val="5F747F7D"/>
    <w:rsid w:val="609B3B94"/>
    <w:rsid w:val="64C44A00"/>
    <w:rsid w:val="650164EC"/>
    <w:rsid w:val="6706259B"/>
    <w:rsid w:val="67FF9FD5"/>
    <w:rsid w:val="6A3B34BF"/>
    <w:rsid w:val="6AB46016"/>
    <w:rsid w:val="6BC84CE2"/>
    <w:rsid w:val="6D307AA1"/>
    <w:rsid w:val="71F60FB3"/>
    <w:rsid w:val="742E508B"/>
    <w:rsid w:val="742E7D48"/>
    <w:rsid w:val="76BA3425"/>
    <w:rsid w:val="7B5A75ED"/>
    <w:rsid w:val="7C305A85"/>
    <w:rsid w:val="7CA14797"/>
    <w:rsid w:val="7D0C2600"/>
    <w:rsid w:val="7D647B02"/>
    <w:rsid w:val="7DC25C8A"/>
    <w:rsid w:val="7FD74743"/>
    <w:rsid w:val="B9DF91C7"/>
    <w:rsid w:val="F7FEE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qFormat/>
    <w:uiPriority w:val="0"/>
    <w:pPr>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otnote reference"/>
    <w:basedOn w:val="7"/>
    <w:qFormat/>
    <w:uiPriority w:val="0"/>
    <w:rPr>
      <w:vertAlign w:val="superscript"/>
    </w:rPr>
  </w:style>
  <w:style w:type="character" w:customStyle="1" w:styleId="9">
    <w:name w:val="页眉 字符"/>
    <w:basedOn w:val="7"/>
    <w:link w:val="3"/>
    <w:qFormat/>
    <w:uiPriority w:val="0"/>
    <w:rPr>
      <w:kern w:val="2"/>
      <w:sz w:val="18"/>
      <w:szCs w:val="18"/>
    </w:rPr>
  </w:style>
  <w:style w:type="character" w:customStyle="1" w:styleId="10">
    <w:name w:val="页脚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csxbank</Company>
  <Pages>1</Pages>
  <Words>312</Words>
  <Characters>344</Characters>
  <Lines>3</Lines>
  <Paragraphs>1</Paragraphs>
  <TotalTime>2</TotalTime>
  <ScaleCrop>false</ScaleCrop>
  <LinksUpToDate>false</LinksUpToDate>
  <CharactersWithSpaces>396</CharactersWithSpaces>
  <Application>WPS Office_11.8.2.10309_F1E327BC-269C-435d-A152-05C5408002CA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2023-04-25T07:07:00Z</dcterms:created>
  <dc:creator>徐芳(12861)</dc:creator>
  <cp:lastModifiedBy>朱玲</cp:lastModifiedBy>
  <cp:lastPrinted>2024-10-28T11:39:00Z</cp:lastPrinted>
  <dcterms:modified xsi:type="dcterms:W3CDTF">2026-07-31T09:19:34Z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2052-11.8.2.10309</vt:lpwstr>
  </property>
  <property fmtid="{D5CDD505-2E9C-101B-9397-08002B2CF9AE}" pid="3" name="ICV">
    <vt:lpwstr>681842AD2C884D23B8D59D3685A1BC61</vt:lpwstr>
  </property>
</Properties>
</file>